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F02CE" w14:textId="3F38F9DC" w:rsidR="00223CC1" w:rsidRPr="00223CC1" w:rsidRDefault="00223CC1" w:rsidP="00223CC1">
      <w:pPr>
        <w:rPr>
          <w:rFonts w:ascii="Arial" w:hAnsi="Arial" w:cs="Arial"/>
          <w:b/>
          <w:bCs/>
          <w:sz w:val="28"/>
          <w:szCs w:val="28"/>
        </w:rPr>
      </w:pPr>
      <w:r w:rsidRPr="00223CC1">
        <w:rPr>
          <w:rFonts w:ascii="Arial" w:hAnsi="Arial" w:cs="Arial"/>
          <w:b/>
          <w:bCs/>
          <w:sz w:val="28"/>
          <w:szCs w:val="28"/>
        </w:rPr>
        <w:t xml:space="preserve">Supplementary </w:t>
      </w:r>
      <w:r>
        <w:rPr>
          <w:rFonts w:ascii="Arial" w:hAnsi="Arial" w:cs="Arial"/>
          <w:b/>
          <w:bCs/>
          <w:sz w:val="28"/>
          <w:szCs w:val="28"/>
        </w:rPr>
        <w:t>Figures</w:t>
      </w:r>
    </w:p>
    <w:p w14:paraId="4CFCAEE9" w14:textId="77777777" w:rsidR="00223CC1" w:rsidRDefault="00223CC1" w:rsidP="00223CC1">
      <w:pPr>
        <w:rPr>
          <w:rFonts w:ascii="Arial" w:eastAsia="Times New Roman" w:hAnsi="Arial" w:cs="Arial"/>
          <w:kern w:val="0"/>
          <w14:ligatures w14:val="none"/>
        </w:rPr>
      </w:pPr>
    </w:p>
    <w:p w14:paraId="7D4C1A94" w14:textId="2854819A" w:rsidR="00223CC1" w:rsidRDefault="00223CC1" w:rsidP="00223CC1">
      <w:pPr>
        <w:jc w:val="center"/>
        <w:rPr>
          <w:rFonts w:ascii="Arial" w:eastAsia="Times New Roman" w:hAnsi="Arial" w:cs="Arial"/>
          <w:kern w:val="0"/>
          <w14:ligatures w14:val="none"/>
        </w:rPr>
      </w:pPr>
      <w:r w:rsidRPr="00223CC1">
        <w:rPr>
          <w:rFonts w:ascii="Arial" w:hAnsi="Arial" w:cs="Arial"/>
          <w:noProof/>
        </w:rPr>
        <w:drawing>
          <wp:inline distT="0" distB="0" distL="0" distR="0" wp14:anchorId="2687DCD2" wp14:editId="47A89960">
            <wp:extent cx="3854879" cy="2948579"/>
            <wp:effectExtent l="0" t="0" r="0" b="0"/>
            <wp:docPr id="1" name="Picture 1" descr="A red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line in a black background&#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865726" cy="2956876"/>
                    </a:xfrm>
                    <a:prstGeom prst="rect">
                      <a:avLst/>
                    </a:prstGeom>
                    <a:noFill/>
                    <a:ln>
                      <a:noFill/>
                    </a:ln>
                  </pic:spPr>
                </pic:pic>
              </a:graphicData>
            </a:graphic>
          </wp:inline>
        </w:drawing>
      </w:r>
    </w:p>
    <w:p w14:paraId="7ABB3DB2" w14:textId="2A10DF0E" w:rsidR="00052204" w:rsidRPr="00223CC1" w:rsidRDefault="00052204" w:rsidP="00223CC1">
      <w:pPr>
        <w:jc w:val="center"/>
        <w:rPr>
          <w:rFonts w:ascii="Arial" w:eastAsia="Times New Roman" w:hAnsi="Arial" w:cs="Arial"/>
          <w:kern w:val="0"/>
          <w14:ligatures w14:val="none"/>
        </w:rPr>
      </w:pPr>
    </w:p>
    <w:p w14:paraId="429AFDCF" w14:textId="673FC0F3" w:rsidR="00052204" w:rsidRPr="00223CC1" w:rsidRDefault="00052204" w:rsidP="00223CC1">
      <w:pPr>
        <w:jc w:val="center"/>
        <w:rPr>
          <w:rFonts w:ascii="Arial" w:hAnsi="Arial" w:cs="Arial"/>
        </w:rPr>
      </w:pPr>
      <w:r w:rsidRPr="00223CC1">
        <w:rPr>
          <w:rFonts w:ascii="Arial" w:hAnsi="Arial" w:cs="Arial"/>
          <w:b/>
          <w:bCs/>
        </w:rPr>
        <w:t>Fig. S1</w:t>
      </w:r>
      <w:r w:rsidRPr="00223CC1">
        <w:rPr>
          <w:rFonts w:ascii="Arial" w:hAnsi="Arial" w:cs="Arial"/>
        </w:rPr>
        <w:t xml:space="preserve"> The standard curve for measuring the MCs concentration in the ELISA experiment. B/B</w:t>
      </w:r>
      <w:r w:rsidRPr="00223CC1">
        <w:rPr>
          <w:rFonts w:ascii="Arial" w:hAnsi="Arial" w:cs="Arial"/>
          <w:vertAlign w:val="subscript"/>
        </w:rPr>
        <w:t>0</w:t>
      </w:r>
      <w:r w:rsidRPr="00223CC1">
        <w:rPr>
          <w:rFonts w:ascii="Arial" w:hAnsi="Arial" w:cs="Arial"/>
        </w:rPr>
        <w:t xml:space="preserve"> is the average absorbance value for each standard divided by the absorbance of the zero standard </w:t>
      </w:r>
      <w:r w:rsidR="0048331C">
        <w:rPr>
          <w:rFonts w:ascii="Arial" w:hAnsi="Arial" w:cs="Arial"/>
        </w:rPr>
        <w:t>(</w:t>
      </w:r>
      <w:r w:rsidRPr="00223CC1">
        <w:rPr>
          <w:rFonts w:ascii="Arial" w:hAnsi="Arial" w:cs="Arial"/>
        </w:rPr>
        <w:t>R</w:t>
      </w:r>
      <w:r w:rsidRPr="00223CC1">
        <w:rPr>
          <w:rFonts w:ascii="Arial" w:hAnsi="Arial" w:cs="Arial"/>
          <w:vertAlign w:val="superscript"/>
        </w:rPr>
        <w:t>2</w:t>
      </w:r>
      <w:r w:rsidRPr="00223CC1">
        <w:rPr>
          <w:rFonts w:ascii="Arial" w:hAnsi="Arial" w:cs="Arial"/>
        </w:rPr>
        <w:t>=0.9997</w:t>
      </w:r>
      <w:r w:rsidR="0048331C">
        <w:rPr>
          <w:rFonts w:ascii="Arial" w:hAnsi="Arial" w:cs="Arial"/>
        </w:rPr>
        <w:t>).</w:t>
      </w:r>
    </w:p>
    <w:p w14:paraId="49D90FAF" w14:textId="77777777" w:rsidR="00223CC1" w:rsidRPr="00840CB1" w:rsidRDefault="00223CC1" w:rsidP="00223CC1">
      <w:pPr>
        <w:spacing w:line="360" w:lineRule="auto"/>
        <w:rPr>
          <w:rFonts w:ascii="Arial" w:eastAsia="Arial" w:hAnsi="Arial" w:cs="Arial"/>
          <w:color w:val="1B1B1B"/>
        </w:rPr>
      </w:pPr>
    </w:p>
    <w:p w14:paraId="273B963A" w14:textId="77777777" w:rsidR="00223CC1" w:rsidRPr="0048331C" w:rsidRDefault="00211EA3" w:rsidP="00223CC1">
      <w:pPr>
        <w:spacing w:line="360" w:lineRule="auto"/>
        <w:jc w:val="center"/>
        <w:rPr>
          <w:rFonts w:ascii="Arial" w:eastAsia="Arial" w:hAnsi="Arial" w:cs="Arial"/>
          <w:color w:val="1B1B1B"/>
          <w:shd w:val="clear" w:color="auto" w:fill="FFFFFF"/>
        </w:rPr>
      </w:pPr>
      <w:r w:rsidRPr="00BA7852">
        <w:rPr>
          <w:rFonts w:ascii="Arial" w:eastAsia="Arial" w:hAnsi="Arial" w:cs="Arial"/>
          <w:noProof/>
          <w:color w:val="1B1B1B"/>
          <w:shd w:val="clear" w:color="auto" w:fill="FFFFFF"/>
        </w:rPr>
        <w:object w:dxaOrig="8820" w:dyaOrig="7220" w14:anchorId="54EC9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45pt;height:242.7pt;mso-width-percent:0;mso-height-percent:0;mso-width-percent:0;mso-height-percent:0" o:ole="">
            <v:imagedata r:id="rId5" o:title=""/>
          </v:shape>
          <o:OLEObject Type="Embed" ProgID="Unknown" ShapeID="_x0000_i1025" DrawAspect="Content" ObjectID="_1812554550" r:id="rId6"/>
        </w:object>
      </w:r>
    </w:p>
    <w:p w14:paraId="33FEE6E5" w14:textId="575B3168" w:rsidR="00223CC1" w:rsidRPr="0048331C" w:rsidRDefault="00223CC1" w:rsidP="00223CC1">
      <w:pPr>
        <w:spacing w:line="360" w:lineRule="auto"/>
        <w:jc w:val="center"/>
        <w:rPr>
          <w:rFonts w:ascii="Arial" w:eastAsia="Arial" w:hAnsi="Arial" w:cs="Arial"/>
          <w:color w:val="1B1B1B"/>
          <w:shd w:val="clear" w:color="auto" w:fill="FFFFFF"/>
        </w:rPr>
      </w:pPr>
      <w:r w:rsidRPr="0048331C">
        <w:rPr>
          <w:rFonts w:ascii="Arial" w:eastAsia="Arial" w:hAnsi="Arial" w:cs="Arial"/>
          <w:b/>
          <w:bCs/>
          <w:color w:val="1B1B1B"/>
          <w:shd w:val="clear" w:color="auto" w:fill="FFFFFF"/>
        </w:rPr>
        <w:t xml:space="preserve">Fig. </w:t>
      </w:r>
      <w:r w:rsidRPr="0048331C">
        <w:rPr>
          <w:rFonts w:ascii="Arial" w:eastAsia="Arial" w:hAnsi="Arial" w:cs="Arial" w:hint="eastAsia"/>
          <w:b/>
          <w:bCs/>
          <w:color w:val="1B1B1B"/>
          <w:shd w:val="clear" w:color="auto" w:fill="FFFFFF"/>
        </w:rPr>
        <w:t>S</w:t>
      </w:r>
      <w:r w:rsidRPr="0048331C">
        <w:rPr>
          <w:rFonts w:ascii="Arial" w:eastAsia="Arial" w:hAnsi="Arial" w:cs="Arial"/>
          <w:b/>
          <w:bCs/>
          <w:color w:val="1B1B1B"/>
          <w:shd w:val="clear" w:color="auto" w:fill="FFFFFF"/>
        </w:rPr>
        <w:t>2</w:t>
      </w:r>
      <w:r w:rsidRPr="00840CB1">
        <w:rPr>
          <w:rFonts w:ascii="Arial" w:eastAsia="Arial" w:hAnsi="Arial" w:cs="Arial"/>
          <w:color w:val="1B1B1B"/>
          <w:shd w:val="clear" w:color="auto" w:fill="FFFFFF"/>
        </w:rPr>
        <w:t xml:space="preserve"> </w:t>
      </w:r>
      <w:r>
        <w:rPr>
          <w:rFonts w:ascii="Arial" w:eastAsia="Arial" w:hAnsi="Arial" w:cs="Arial"/>
          <w:color w:val="1B1B1B"/>
          <w:shd w:val="clear" w:color="auto" w:fill="FFFFFF"/>
        </w:rPr>
        <w:t xml:space="preserve">The </w:t>
      </w:r>
      <w:r w:rsidRPr="00840CB1">
        <w:rPr>
          <w:rFonts w:ascii="Arial" w:eastAsia="Arial" w:hAnsi="Arial" w:cs="Arial"/>
          <w:color w:val="1B1B1B"/>
          <w:shd w:val="clear" w:color="auto" w:fill="FFFFFF"/>
        </w:rPr>
        <w:t>Cl</w:t>
      </w:r>
      <w:r w:rsidRPr="0048331C">
        <w:rPr>
          <w:rFonts w:ascii="Cambria Math" w:eastAsia="Arial" w:hAnsi="Cambria Math" w:cs="Cambria Math"/>
          <w:color w:val="1B1B1B"/>
          <w:shd w:val="clear" w:color="auto" w:fill="FFFFFF"/>
        </w:rPr>
        <w:t>⁻</w:t>
      </w:r>
      <w:r w:rsidRPr="00840CB1">
        <w:rPr>
          <w:rFonts w:ascii="Arial" w:eastAsia="Arial" w:hAnsi="Arial" w:cs="Arial"/>
          <w:color w:val="1B1B1B"/>
          <w:shd w:val="clear" w:color="auto" w:fill="FFFFFF"/>
        </w:rPr>
        <w:t xml:space="preserve">-EC </w:t>
      </w:r>
      <w:r>
        <w:rPr>
          <w:rFonts w:ascii="Arial" w:eastAsia="Arial" w:hAnsi="Arial" w:cs="Arial"/>
          <w:color w:val="1B1B1B"/>
          <w:shd w:val="clear" w:color="auto" w:fill="FFFFFF"/>
        </w:rPr>
        <w:t>s</w:t>
      </w:r>
      <w:r w:rsidRPr="00840CB1">
        <w:rPr>
          <w:rFonts w:ascii="Arial" w:eastAsia="Arial" w:hAnsi="Arial" w:cs="Arial"/>
          <w:color w:val="1B1B1B"/>
          <w:shd w:val="clear" w:color="auto" w:fill="FFFFFF"/>
        </w:rPr>
        <w:t xml:space="preserve">tandard </w:t>
      </w:r>
      <w:r>
        <w:rPr>
          <w:rFonts w:ascii="Arial" w:eastAsia="Arial" w:hAnsi="Arial" w:cs="Arial"/>
          <w:color w:val="1B1B1B"/>
          <w:shd w:val="clear" w:color="auto" w:fill="FFFFFF"/>
        </w:rPr>
        <w:t>c</w:t>
      </w:r>
      <w:r w:rsidRPr="00840CB1">
        <w:rPr>
          <w:rFonts w:ascii="Arial" w:eastAsia="Arial" w:hAnsi="Arial" w:cs="Arial"/>
          <w:color w:val="1B1B1B"/>
          <w:shd w:val="clear" w:color="auto" w:fill="FFFFFF"/>
        </w:rPr>
        <w:t>urve of the column experiment samples</w:t>
      </w:r>
      <w:r w:rsidR="0048331C" w:rsidRPr="0048331C">
        <w:rPr>
          <w:rFonts w:ascii="Arial" w:eastAsia="Arial" w:hAnsi="Arial" w:cs="Arial" w:hint="eastAsia"/>
          <w:color w:val="1B1B1B"/>
          <w:shd w:val="clear" w:color="auto" w:fill="FFFFFF"/>
        </w:rPr>
        <w:t>.</w:t>
      </w:r>
      <w:r w:rsidR="0048331C" w:rsidRPr="0048331C">
        <w:rPr>
          <w:rFonts w:ascii="Arial" w:eastAsia="Arial" w:hAnsi="Arial" w:cs="Arial"/>
          <w:color w:val="1B1B1B"/>
          <w:shd w:val="clear" w:color="auto" w:fill="FFFFFF"/>
        </w:rPr>
        <w:t xml:space="preserve"> NaCl solutions with concentrations of 0.0005, 0.001, 0.002, 0.0025, and 0.005 mol/L were prepared, </w:t>
      </w:r>
      <w:r w:rsidR="0048331C" w:rsidRPr="0048331C">
        <w:rPr>
          <w:rFonts w:ascii="Arial" w:eastAsia="Arial" w:hAnsi="Arial" w:cs="Arial"/>
          <w:color w:val="1B1B1B"/>
          <w:shd w:val="clear" w:color="auto" w:fill="FFFFFF"/>
        </w:rPr>
        <w:lastRenderedPageBreak/>
        <w:t>and their EC was measured. A linear correlation curve was constructed to establish the relationship between Cl</w:t>
      </w:r>
      <w:r w:rsidR="0048331C" w:rsidRPr="0048331C">
        <w:rPr>
          <w:rFonts w:ascii="Cambria Math" w:eastAsia="Arial" w:hAnsi="Cambria Math" w:cs="Cambria Math"/>
          <w:color w:val="1B1B1B"/>
          <w:shd w:val="clear" w:color="auto" w:fill="FFFFFF"/>
        </w:rPr>
        <w:t>⁻</w:t>
      </w:r>
      <w:r w:rsidR="0048331C" w:rsidRPr="0048331C">
        <w:rPr>
          <w:rFonts w:ascii="Arial" w:eastAsia="Arial" w:hAnsi="Arial" w:cs="Arial"/>
          <w:color w:val="1B1B1B"/>
          <w:shd w:val="clear" w:color="auto" w:fill="FFFFFF"/>
        </w:rPr>
        <w:t xml:space="preserve"> concentration and EC values (R</w:t>
      </w:r>
      <w:r w:rsidR="0048331C" w:rsidRPr="0048331C">
        <w:rPr>
          <w:rFonts w:ascii="Arial" w:eastAsia="Arial" w:hAnsi="Arial" w:cs="Arial"/>
          <w:color w:val="1B1B1B"/>
          <w:shd w:val="clear" w:color="auto" w:fill="FFFFFF"/>
          <w:vertAlign w:val="superscript"/>
        </w:rPr>
        <w:t>2</w:t>
      </w:r>
      <w:r w:rsidR="0048331C" w:rsidRPr="0048331C">
        <w:rPr>
          <w:rFonts w:ascii="Arial" w:eastAsia="Arial" w:hAnsi="Arial" w:cs="Arial"/>
          <w:color w:val="1B1B1B"/>
          <w:shd w:val="clear" w:color="auto" w:fill="FFFFFF"/>
        </w:rPr>
        <w:t>=0.99965).</w:t>
      </w:r>
    </w:p>
    <w:p w14:paraId="69AA3970" w14:textId="77777777" w:rsidR="00223CC1" w:rsidRPr="00223CC1" w:rsidRDefault="00223CC1">
      <w:pPr>
        <w:rPr>
          <w:rFonts w:ascii="Arial" w:hAnsi="Arial" w:cs="Arial"/>
        </w:rPr>
      </w:pPr>
    </w:p>
    <w:p w14:paraId="5F80F1B0" w14:textId="4F07D227" w:rsidR="00F90700" w:rsidRPr="00223CC1" w:rsidRDefault="007009C6">
      <w:pPr>
        <w:rPr>
          <w:rFonts w:ascii="Arial" w:hAnsi="Arial" w:cs="Arial"/>
        </w:rPr>
      </w:pPr>
      <w:r w:rsidRPr="00223CC1">
        <w:rPr>
          <w:rFonts w:ascii="Arial" w:hAnsi="Arial" w:cs="Arial"/>
          <w:noProof/>
        </w:rPr>
        <w:drawing>
          <wp:inline distT="0" distB="0" distL="0" distR="0" wp14:anchorId="2944F20C" wp14:editId="5E886712">
            <wp:extent cx="5581462" cy="2790731"/>
            <wp:effectExtent l="0" t="0" r="0" b="3810"/>
            <wp:docPr id="1377479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479503" name="Picture 1377479503"/>
                    <pic:cNvPicPr/>
                  </pic:nvPicPr>
                  <pic:blipFill>
                    <a:blip r:embed="rId7"/>
                    <a:stretch>
                      <a:fillRect/>
                    </a:stretch>
                  </pic:blipFill>
                  <pic:spPr>
                    <a:xfrm>
                      <a:off x="0" y="0"/>
                      <a:ext cx="5605239" cy="2802619"/>
                    </a:xfrm>
                    <a:prstGeom prst="rect">
                      <a:avLst/>
                    </a:prstGeom>
                  </pic:spPr>
                </pic:pic>
              </a:graphicData>
            </a:graphic>
          </wp:inline>
        </w:drawing>
      </w:r>
    </w:p>
    <w:p w14:paraId="575805AE" w14:textId="2FD19555" w:rsidR="00034E5E" w:rsidRPr="00223CC1" w:rsidRDefault="00034E5E" w:rsidP="00223CC1">
      <w:pPr>
        <w:jc w:val="center"/>
        <w:rPr>
          <w:rFonts w:ascii="Arial" w:hAnsi="Arial" w:cs="Arial"/>
        </w:rPr>
      </w:pPr>
      <w:r w:rsidRPr="00223CC1">
        <w:rPr>
          <w:rFonts w:ascii="Arial" w:hAnsi="Arial" w:cs="Arial"/>
          <w:b/>
          <w:bCs/>
        </w:rPr>
        <w:t>Fig</w:t>
      </w:r>
      <w:r w:rsidR="00984CD5" w:rsidRPr="00223CC1">
        <w:rPr>
          <w:rFonts w:ascii="Arial" w:hAnsi="Arial" w:cs="Arial"/>
          <w:b/>
          <w:bCs/>
        </w:rPr>
        <w:t>.</w:t>
      </w:r>
      <w:r w:rsidRPr="00223CC1">
        <w:rPr>
          <w:rFonts w:ascii="Arial" w:hAnsi="Arial" w:cs="Arial"/>
          <w:b/>
          <w:bCs/>
        </w:rPr>
        <w:t xml:space="preserve"> </w:t>
      </w:r>
      <w:r w:rsidR="00984CD5" w:rsidRPr="00223CC1">
        <w:rPr>
          <w:rFonts w:ascii="Arial" w:hAnsi="Arial" w:cs="Arial"/>
          <w:b/>
          <w:bCs/>
        </w:rPr>
        <w:t>S</w:t>
      </w:r>
      <w:r w:rsidR="00223CC1" w:rsidRPr="00223CC1">
        <w:rPr>
          <w:rFonts w:ascii="Arial" w:hAnsi="Arial" w:cs="Arial"/>
          <w:b/>
          <w:bCs/>
        </w:rPr>
        <w:t>3</w:t>
      </w:r>
      <w:r w:rsidRPr="00223CC1">
        <w:rPr>
          <w:rFonts w:ascii="Arial" w:hAnsi="Arial" w:cs="Arial"/>
        </w:rPr>
        <w:t xml:space="preserve"> Soil microbial diversity across different sampling locations. a) Alpha diversity was analyzed using observed richness and Shannon index. b) Beta diversity was analyzed using weighted UniFrac distances and visualized with a PCoA plot.</w:t>
      </w:r>
    </w:p>
    <w:p w14:paraId="1BB651CC" w14:textId="77777777" w:rsidR="00567C1B" w:rsidRPr="00223CC1" w:rsidRDefault="00567C1B" w:rsidP="00034E5E">
      <w:pPr>
        <w:rPr>
          <w:rFonts w:ascii="Arial" w:hAnsi="Arial" w:cs="Arial"/>
        </w:rPr>
      </w:pPr>
    </w:p>
    <w:p w14:paraId="3153D2EF" w14:textId="495C030A" w:rsidR="00567C1B" w:rsidRPr="00223CC1" w:rsidRDefault="003A0BAA" w:rsidP="00034E5E">
      <w:pPr>
        <w:rPr>
          <w:rFonts w:ascii="Arial" w:hAnsi="Arial" w:cs="Arial"/>
        </w:rPr>
      </w:pPr>
      <w:r w:rsidRPr="00223CC1">
        <w:rPr>
          <w:rFonts w:ascii="Arial" w:hAnsi="Arial" w:cs="Arial"/>
          <w:noProof/>
        </w:rPr>
        <w:lastRenderedPageBreak/>
        <w:drawing>
          <wp:inline distT="0" distB="0" distL="0" distR="0" wp14:anchorId="69ED7617" wp14:editId="3AF69544">
            <wp:extent cx="5775593" cy="4125600"/>
            <wp:effectExtent l="0" t="0" r="3175" b="1905"/>
            <wp:docPr id="1585986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986059" name="Picture 1585986059"/>
                    <pic:cNvPicPr/>
                  </pic:nvPicPr>
                  <pic:blipFill>
                    <a:blip r:embed="rId8"/>
                    <a:stretch>
                      <a:fillRect/>
                    </a:stretch>
                  </pic:blipFill>
                  <pic:spPr>
                    <a:xfrm>
                      <a:off x="0" y="0"/>
                      <a:ext cx="5777221" cy="4126763"/>
                    </a:xfrm>
                    <a:prstGeom prst="rect">
                      <a:avLst/>
                    </a:prstGeom>
                  </pic:spPr>
                </pic:pic>
              </a:graphicData>
            </a:graphic>
          </wp:inline>
        </w:drawing>
      </w:r>
    </w:p>
    <w:p w14:paraId="56495834" w14:textId="4FFD1AD9" w:rsidR="00FB641D" w:rsidRDefault="00FB641D" w:rsidP="00223CC1">
      <w:pPr>
        <w:jc w:val="center"/>
        <w:rPr>
          <w:rFonts w:ascii="Arial" w:hAnsi="Arial" w:cs="Arial"/>
        </w:rPr>
      </w:pPr>
      <w:r w:rsidRPr="00223CC1">
        <w:rPr>
          <w:rFonts w:ascii="Arial" w:hAnsi="Arial" w:cs="Arial"/>
          <w:b/>
          <w:bCs/>
        </w:rPr>
        <w:t>Fig</w:t>
      </w:r>
      <w:r w:rsidR="00984CD5" w:rsidRPr="00223CC1">
        <w:rPr>
          <w:rFonts w:ascii="Arial" w:hAnsi="Arial" w:cs="Arial"/>
          <w:b/>
          <w:bCs/>
        </w:rPr>
        <w:t>.</w:t>
      </w:r>
      <w:r w:rsidRPr="00223CC1">
        <w:rPr>
          <w:rFonts w:ascii="Arial" w:hAnsi="Arial" w:cs="Arial"/>
          <w:b/>
          <w:bCs/>
        </w:rPr>
        <w:t xml:space="preserve"> </w:t>
      </w:r>
      <w:r w:rsidR="00984CD5" w:rsidRPr="00223CC1">
        <w:rPr>
          <w:rFonts w:ascii="Arial" w:hAnsi="Arial" w:cs="Arial"/>
          <w:b/>
          <w:bCs/>
        </w:rPr>
        <w:t>S</w:t>
      </w:r>
      <w:r w:rsidR="00223CC1">
        <w:rPr>
          <w:rFonts w:ascii="Arial" w:hAnsi="Arial" w:cs="Arial"/>
          <w:b/>
          <w:bCs/>
        </w:rPr>
        <w:t>4</w:t>
      </w:r>
      <w:r w:rsidR="00223CC1">
        <w:rPr>
          <w:rFonts w:ascii="Arial" w:hAnsi="Arial" w:cs="Arial"/>
        </w:rPr>
        <w:t xml:space="preserve"> </w:t>
      </w:r>
      <w:r w:rsidRPr="00223CC1">
        <w:rPr>
          <w:rFonts w:ascii="Arial" w:hAnsi="Arial" w:cs="Arial"/>
        </w:rPr>
        <w:t>Taxonomic composition of soil microbial communities at the phylum level across sampling locations.</w:t>
      </w:r>
    </w:p>
    <w:p w14:paraId="3BFBCF9F" w14:textId="4658E9F7" w:rsidR="00223CC1" w:rsidRDefault="00223CC1" w:rsidP="00034E5E">
      <w:pPr>
        <w:rPr>
          <w:rFonts w:ascii="Arial" w:hAnsi="Arial" w:cs="Arial"/>
        </w:rPr>
      </w:pPr>
    </w:p>
    <w:p w14:paraId="376DA1A9" w14:textId="77777777" w:rsidR="00223CC1" w:rsidRPr="00223CC1" w:rsidRDefault="00223CC1" w:rsidP="00223CC1">
      <w:pPr>
        <w:jc w:val="both"/>
      </w:pPr>
    </w:p>
    <w:p w14:paraId="03DF8FA3" w14:textId="63FFD462" w:rsidR="00223CC1" w:rsidRDefault="00223CC1" w:rsidP="00223CC1">
      <w:pPr>
        <w:spacing w:line="360" w:lineRule="auto"/>
        <w:jc w:val="both"/>
        <w:rPr>
          <w:rFonts w:ascii="Arial" w:eastAsia="Arial" w:hAnsi="Arial" w:cs="Arial"/>
        </w:rPr>
      </w:pPr>
      <w:r w:rsidRPr="3845A423">
        <w:rPr>
          <w:rFonts w:ascii="Arial" w:eastAsia="Arial" w:hAnsi="Arial" w:cs="Arial"/>
        </w:rPr>
        <w:t xml:space="preserve">According to </w:t>
      </w:r>
      <w:r w:rsidRPr="3845A423">
        <w:rPr>
          <w:rFonts w:ascii="Arial" w:eastAsia="Arial" w:hAnsi="Arial" w:cs="Arial"/>
          <w:b/>
          <w:bCs/>
        </w:rPr>
        <w:t>Table 1</w:t>
      </w:r>
      <w:r w:rsidRPr="3845A423">
        <w:rPr>
          <w:rFonts w:ascii="Arial" w:eastAsia="Arial" w:hAnsi="Arial" w:cs="Arial"/>
        </w:rPr>
        <w:t xml:space="preserve">, the riparian soil used in the experiment was classified as silty loam, with an organic matter content of 20.49 g/kg, which can provide energy for microbial activity and promote the degradation of MC. Further measurements of dissolved organic carbon (DOC) content were conducted at the upper, middle, and lower sections of sand Column 1, soil Columns 2, 3, and 4, as shown in </w:t>
      </w:r>
      <w:r w:rsidRPr="3845A423">
        <w:rPr>
          <w:rFonts w:ascii="Arial" w:eastAsia="Arial" w:hAnsi="Arial" w:cs="Arial"/>
          <w:b/>
          <w:bCs/>
        </w:rPr>
        <w:t xml:space="preserve">Fig. </w:t>
      </w:r>
      <w:r>
        <w:rPr>
          <w:rFonts w:ascii="Arial" w:eastAsia="Arial" w:hAnsi="Arial" w:cs="Arial"/>
          <w:b/>
          <w:bCs/>
        </w:rPr>
        <w:t>S5</w:t>
      </w:r>
      <w:r w:rsidRPr="3845A423">
        <w:rPr>
          <w:rFonts w:ascii="Arial" w:eastAsia="Arial" w:hAnsi="Arial" w:cs="Arial"/>
        </w:rPr>
        <w:t xml:space="preserve">. The DOC content in the soil columns was significantly higher than that in the sand column, and the lower sections of the soil columns consistently exhibited higher DOC levels, indicating leaching of soil organic matter in which organic carbon was progressively dissolved into pore water along the flow path. </w:t>
      </w:r>
    </w:p>
    <w:p w14:paraId="6883953B" w14:textId="77777777" w:rsidR="00223CC1" w:rsidRDefault="00223CC1" w:rsidP="00223CC1">
      <w:pPr>
        <w:spacing w:line="360" w:lineRule="auto"/>
        <w:rPr>
          <w:rFonts w:ascii="Arial" w:eastAsia="Arial" w:hAnsi="Arial" w:cs="Arial"/>
        </w:rPr>
      </w:pPr>
    </w:p>
    <w:p w14:paraId="32961F61" w14:textId="77777777" w:rsidR="00223CC1" w:rsidRDefault="00223CC1" w:rsidP="00223CC1">
      <w:pPr>
        <w:spacing w:line="360" w:lineRule="auto"/>
        <w:jc w:val="center"/>
        <w:rPr>
          <w:rFonts w:ascii="Arial" w:eastAsia="Arial" w:hAnsi="Arial" w:cs="Arial"/>
        </w:rPr>
      </w:pPr>
      <w:r>
        <w:rPr>
          <w:noProof/>
        </w:rPr>
        <w:lastRenderedPageBreak/>
        <w:drawing>
          <wp:inline distT="0" distB="0" distL="0" distR="0" wp14:anchorId="7F03AB2D" wp14:editId="20BED6C1">
            <wp:extent cx="4571063" cy="3023857"/>
            <wp:effectExtent l="0" t="0" r="0" b="0"/>
            <wp:docPr id="937638882" name="图片 17" descr="图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pic:nvPicPr>
                  <pic:blipFill>
                    <a:blip r:embed="rId9" cstate="print">
                      <a:extLst>
                        <a:ext uri="{28A0092B-C50C-407E-A947-70E740481C1C}">
                          <a14:useLocalDpi xmlns:a14="http://schemas.microsoft.com/office/drawing/2010/main" val="0"/>
                        </a:ext>
                      </a:extLst>
                    </a:blip>
                    <a:srcRect t="5496" b="8041"/>
                    <a:stretch>
                      <a:fillRect/>
                    </a:stretch>
                  </pic:blipFill>
                  <pic:spPr>
                    <a:xfrm>
                      <a:off x="0" y="0"/>
                      <a:ext cx="4623264" cy="3058389"/>
                    </a:xfrm>
                    <a:prstGeom prst="rect">
                      <a:avLst/>
                    </a:prstGeom>
                  </pic:spPr>
                </pic:pic>
              </a:graphicData>
            </a:graphic>
          </wp:inline>
        </w:drawing>
      </w:r>
    </w:p>
    <w:p w14:paraId="443EAACC" w14:textId="164CC312" w:rsidR="00223CC1" w:rsidRDefault="00223CC1" w:rsidP="00223CC1">
      <w:pPr>
        <w:spacing w:line="360" w:lineRule="auto"/>
        <w:jc w:val="center"/>
      </w:pPr>
      <w:r w:rsidRPr="3845A423">
        <w:rPr>
          <w:rFonts w:ascii="Arial" w:eastAsia="Arial" w:hAnsi="Arial" w:cs="Arial"/>
          <w:b/>
          <w:bCs/>
        </w:rPr>
        <w:t xml:space="preserve">Fig. </w:t>
      </w:r>
      <w:r>
        <w:rPr>
          <w:rFonts w:ascii="Arial" w:eastAsia="Arial" w:hAnsi="Arial" w:cs="Arial"/>
          <w:b/>
          <w:bCs/>
        </w:rPr>
        <w:t>S5</w:t>
      </w:r>
      <w:r w:rsidRPr="3845A423">
        <w:rPr>
          <w:rFonts w:ascii="Arial" w:eastAsia="Arial" w:hAnsi="Arial" w:cs="Arial"/>
        </w:rPr>
        <w:t xml:space="preserve"> DOC content of different depths in the columns</w:t>
      </w:r>
      <w:r w:rsidRPr="3845A423">
        <w:t xml:space="preserve"> </w:t>
      </w:r>
    </w:p>
    <w:p w14:paraId="19E43CDE" w14:textId="77777777" w:rsidR="00223CC1" w:rsidRPr="00223CC1" w:rsidRDefault="00223CC1" w:rsidP="00223CC1">
      <w:pPr>
        <w:spacing w:line="360" w:lineRule="auto"/>
        <w:jc w:val="center"/>
        <w:rPr>
          <w:rFonts w:ascii="Arial" w:eastAsia="Arial" w:hAnsi="Arial" w:cs="Arial"/>
        </w:rPr>
      </w:pPr>
    </w:p>
    <w:p w14:paraId="1BE1C5B1" w14:textId="0D95938B" w:rsidR="00223CC1" w:rsidRDefault="00223CC1" w:rsidP="001F6E2F">
      <w:pPr>
        <w:spacing w:line="360" w:lineRule="auto"/>
        <w:jc w:val="both"/>
        <w:rPr>
          <w:rFonts w:ascii="Arial" w:eastAsia="Arial" w:hAnsi="Arial" w:cs="Arial"/>
        </w:rPr>
      </w:pPr>
      <w:r w:rsidRPr="00AC7ED0">
        <w:rPr>
          <w:rFonts w:ascii="Arial" w:eastAsia="Arial" w:hAnsi="Arial" w:cs="Arial"/>
        </w:rPr>
        <w:t>The microbial degradation of MCs in sediments can be influenced by the presence of DOC, though the mechanisms remain complex and context-dependent. On one hand, labile DOC may enhance MC removal by supporting overall microbial activity, including co</w:t>
      </w:r>
      <w:r w:rsidRPr="09763F8C">
        <w:rPr>
          <w:rFonts w:ascii="Arial" w:eastAsia="Arial" w:hAnsi="Arial" w:cs="Arial"/>
        </w:rPr>
        <w:t>-</w:t>
      </w:r>
      <w:r w:rsidRPr="00AC7ED0">
        <w:rPr>
          <w:rFonts w:ascii="Arial" w:eastAsia="Arial" w:hAnsi="Arial" w:cs="Arial"/>
        </w:rPr>
        <w:t>metabolic pathways</w:t>
      </w:r>
      <w:r w:rsidRPr="09763F8C">
        <w:rPr>
          <w:rFonts w:ascii="Arial" w:eastAsia="Arial" w:hAnsi="Arial" w:cs="Arial"/>
        </w:rPr>
        <w:t xml:space="preserve"> (Chen et al., 2010)</w:t>
      </w:r>
      <w:r w:rsidRPr="00AC7ED0">
        <w:rPr>
          <w:rFonts w:ascii="Arial" w:eastAsia="Arial" w:hAnsi="Arial" w:cs="Arial"/>
        </w:rPr>
        <w:t>. For instance, Wu et al. (2015) found that the addition of soluble organic matter stimulated the anoxic degradation of MCs in lake sediments, suggesting that some carbon substrates may promote the activity of MC-degrading communities. On the other hand, other studies have demonstrated inhibitory effects</w:t>
      </w:r>
      <w:r w:rsidRPr="09763F8C">
        <w:rPr>
          <w:rFonts w:ascii="Arial" w:eastAsia="Arial" w:hAnsi="Arial" w:cs="Arial"/>
        </w:rPr>
        <w:t xml:space="preserve"> caused by</w:t>
      </w:r>
      <w:r w:rsidRPr="00AC7ED0">
        <w:rPr>
          <w:rFonts w:ascii="Arial" w:eastAsia="Arial" w:hAnsi="Arial" w:cs="Arial"/>
        </w:rPr>
        <w:t xml:space="preserve"> potential competition between DOC and MCs as microbial substrates</w:t>
      </w:r>
      <w:r w:rsidRPr="09763F8C">
        <w:rPr>
          <w:rFonts w:ascii="Arial" w:eastAsia="Arial" w:hAnsi="Arial" w:cs="Arial"/>
        </w:rPr>
        <w:t xml:space="preserve"> (Baranwal et al., 2022; Li et al., 2011; Valeria et al., 2006)</w:t>
      </w:r>
      <w:r w:rsidRPr="00AC7ED0">
        <w:rPr>
          <w:rFonts w:ascii="Arial" w:eastAsia="Arial" w:hAnsi="Arial" w:cs="Arial"/>
        </w:rPr>
        <w:t xml:space="preserve">. Due to the lack of direct microbiological or isotopic evidence in our study, we cannot distinguish among these </w:t>
      </w:r>
      <w:r w:rsidRPr="00223CC1">
        <w:rPr>
          <w:rFonts w:ascii="Arial" w:eastAsia="Arial" w:hAnsi="Arial" w:cs="Arial"/>
        </w:rPr>
        <w:t xml:space="preserve">possibilities. </w:t>
      </w:r>
    </w:p>
    <w:p w14:paraId="3E49FA5D" w14:textId="77777777" w:rsidR="001F6E2F" w:rsidRDefault="001F6E2F" w:rsidP="001F6E2F">
      <w:pPr>
        <w:spacing w:line="360" w:lineRule="auto"/>
        <w:jc w:val="both"/>
        <w:rPr>
          <w:rFonts w:ascii="Arial" w:eastAsia="Arial" w:hAnsi="Arial" w:cs="Arial"/>
        </w:rPr>
      </w:pPr>
    </w:p>
    <w:p w14:paraId="2F462B66" w14:textId="2E406838" w:rsidR="001F6E2F" w:rsidRPr="00223CC1" w:rsidRDefault="001F6E2F" w:rsidP="00223CC1">
      <w:pPr>
        <w:spacing w:line="360" w:lineRule="auto"/>
        <w:rPr>
          <w:rFonts w:ascii="Arial" w:eastAsia="Arial" w:hAnsi="Arial" w:cs="Arial"/>
        </w:rPr>
      </w:pPr>
      <w:r>
        <w:rPr>
          <w:rFonts w:ascii="Arial" w:eastAsia="Arial" w:hAnsi="Arial" w:cs="Arial"/>
        </w:rPr>
        <w:t>References</w:t>
      </w:r>
    </w:p>
    <w:p w14:paraId="3F69D6C4" w14:textId="77777777" w:rsidR="00223CC1" w:rsidRPr="00223CC1" w:rsidRDefault="00223CC1" w:rsidP="00223CC1">
      <w:pPr>
        <w:rPr>
          <w:rFonts w:ascii="Arial" w:eastAsia="Aptos" w:hAnsi="Arial" w:cs="Arial"/>
          <w:color w:val="000000" w:themeColor="text1"/>
        </w:rPr>
      </w:pPr>
      <w:r w:rsidRPr="00223CC1">
        <w:rPr>
          <w:rFonts w:ascii="Arial" w:eastAsia="Aptos" w:hAnsi="Arial" w:cs="Arial"/>
          <w:color w:val="000000" w:themeColor="text1"/>
        </w:rPr>
        <w:t xml:space="preserve">Baranwal, P., D.-W. Kang, and Y. Seo (2022), Impacts of algal organic matter and humic substances on microcystin-LR removal and their biotransformation during the biodegradation process, </w:t>
      </w:r>
      <w:r w:rsidRPr="00223CC1">
        <w:rPr>
          <w:rFonts w:ascii="Arial" w:eastAsia="Aptos" w:hAnsi="Arial" w:cs="Arial"/>
          <w:i/>
          <w:iCs/>
          <w:color w:val="000000" w:themeColor="text1"/>
        </w:rPr>
        <w:t>Science of The Total Environment</w:t>
      </w:r>
      <w:r w:rsidRPr="00223CC1">
        <w:rPr>
          <w:rFonts w:ascii="Arial" w:eastAsia="Aptos" w:hAnsi="Arial" w:cs="Arial"/>
          <w:color w:val="000000" w:themeColor="text1"/>
        </w:rPr>
        <w:t xml:space="preserve">, </w:t>
      </w:r>
      <w:r w:rsidRPr="00223CC1">
        <w:rPr>
          <w:rFonts w:ascii="Arial" w:eastAsia="Aptos" w:hAnsi="Arial" w:cs="Arial"/>
          <w:i/>
          <w:iCs/>
          <w:color w:val="000000" w:themeColor="text1"/>
        </w:rPr>
        <w:t>852</w:t>
      </w:r>
      <w:r w:rsidRPr="00223CC1">
        <w:rPr>
          <w:rFonts w:ascii="Arial" w:eastAsia="Aptos" w:hAnsi="Arial" w:cs="Arial"/>
          <w:color w:val="000000" w:themeColor="text1"/>
        </w:rPr>
        <w:t>, 157993, doi:</w:t>
      </w:r>
      <w:hyperlink r:id="rId10" w:history="1">
        <w:r w:rsidRPr="00223CC1">
          <w:rPr>
            <w:rStyle w:val="Hyperlink"/>
            <w:rFonts w:ascii="Arial" w:eastAsia="Aptos" w:hAnsi="Arial" w:cs="Arial"/>
            <w:color w:val="000000" w:themeColor="text1"/>
          </w:rPr>
          <w:t>https://doi.org/10.1016/j.scitotenv.2022.157993</w:t>
        </w:r>
      </w:hyperlink>
      <w:r w:rsidRPr="00223CC1">
        <w:rPr>
          <w:rFonts w:ascii="Arial" w:eastAsia="Aptos" w:hAnsi="Arial" w:cs="Arial"/>
          <w:color w:val="000000" w:themeColor="text1"/>
        </w:rPr>
        <w:t xml:space="preserve">. </w:t>
      </w:r>
    </w:p>
    <w:p w14:paraId="5A60F145" w14:textId="77777777" w:rsidR="00223CC1" w:rsidRPr="00223CC1" w:rsidRDefault="00223CC1" w:rsidP="00223CC1">
      <w:pPr>
        <w:rPr>
          <w:rFonts w:ascii="Arial" w:eastAsia="Aptos" w:hAnsi="Arial" w:cs="Arial"/>
          <w:color w:val="000000" w:themeColor="text1"/>
        </w:rPr>
      </w:pPr>
    </w:p>
    <w:p w14:paraId="5414DCA0" w14:textId="77777777" w:rsidR="00223CC1" w:rsidRPr="00223CC1" w:rsidRDefault="00223CC1" w:rsidP="00223CC1">
      <w:pPr>
        <w:rPr>
          <w:rFonts w:ascii="Arial" w:eastAsia="Aptos" w:hAnsi="Arial" w:cs="Arial"/>
          <w:color w:val="000000" w:themeColor="text1"/>
        </w:rPr>
      </w:pPr>
      <w:r w:rsidRPr="00223CC1">
        <w:rPr>
          <w:rFonts w:ascii="Arial" w:eastAsia="Aptos" w:hAnsi="Arial" w:cs="Arial"/>
          <w:color w:val="000000" w:themeColor="text1"/>
        </w:rPr>
        <w:lastRenderedPageBreak/>
        <w:t xml:space="preserve">Li, J., K. Shimizu, M. K. Sakharkar, M. Utsumi, Z. Zhang, and N. Sugiura (2011), Comparative study for the effects of variable nutrient conditions on the biodegradation of microcystin-LR and concurrent dynamics in microcystin-degrading gene abundance, </w:t>
      </w:r>
      <w:r w:rsidRPr="00223CC1">
        <w:rPr>
          <w:rFonts w:ascii="Arial" w:eastAsia="Aptos" w:hAnsi="Arial" w:cs="Arial"/>
          <w:i/>
          <w:iCs/>
          <w:color w:val="000000" w:themeColor="text1"/>
        </w:rPr>
        <w:t>Bioresource Technology</w:t>
      </w:r>
      <w:r w:rsidRPr="00223CC1">
        <w:rPr>
          <w:rFonts w:ascii="Arial" w:eastAsia="Aptos" w:hAnsi="Arial" w:cs="Arial"/>
          <w:color w:val="000000" w:themeColor="text1"/>
        </w:rPr>
        <w:t xml:space="preserve">, </w:t>
      </w:r>
      <w:r w:rsidRPr="00223CC1">
        <w:rPr>
          <w:rFonts w:ascii="Arial" w:eastAsia="Aptos" w:hAnsi="Arial" w:cs="Arial"/>
          <w:i/>
          <w:iCs/>
          <w:color w:val="000000" w:themeColor="text1"/>
        </w:rPr>
        <w:t>102</w:t>
      </w:r>
      <w:r w:rsidRPr="00223CC1">
        <w:rPr>
          <w:rFonts w:ascii="Arial" w:eastAsia="Aptos" w:hAnsi="Arial" w:cs="Arial"/>
          <w:color w:val="000000" w:themeColor="text1"/>
        </w:rPr>
        <w:t>(20), 9509-9517, doi:</w:t>
      </w:r>
      <w:hyperlink r:id="rId11" w:history="1">
        <w:r w:rsidRPr="00223CC1">
          <w:rPr>
            <w:rStyle w:val="Hyperlink"/>
            <w:rFonts w:ascii="Arial" w:eastAsia="Aptos" w:hAnsi="Arial" w:cs="Arial"/>
            <w:color w:val="000000" w:themeColor="text1"/>
          </w:rPr>
          <w:t>https://doi.org/10.1016/j.biortech.2011.07.112</w:t>
        </w:r>
      </w:hyperlink>
      <w:r w:rsidRPr="00223CC1">
        <w:rPr>
          <w:rFonts w:ascii="Arial" w:eastAsia="Aptos" w:hAnsi="Arial" w:cs="Arial"/>
          <w:color w:val="000000" w:themeColor="text1"/>
        </w:rPr>
        <w:t xml:space="preserve">. </w:t>
      </w:r>
    </w:p>
    <w:p w14:paraId="3F60C9EE" w14:textId="77777777" w:rsidR="00223CC1" w:rsidRPr="00223CC1" w:rsidRDefault="00223CC1" w:rsidP="00223CC1">
      <w:pPr>
        <w:rPr>
          <w:rFonts w:ascii="Arial" w:eastAsia="Aptos" w:hAnsi="Arial" w:cs="Arial"/>
          <w:color w:val="000000" w:themeColor="text1"/>
        </w:rPr>
      </w:pPr>
    </w:p>
    <w:p w14:paraId="7F2F8733" w14:textId="77777777" w:rsidR="00223CC1" w:rsidRPr="00223CC1" w:rsidRDefault="00223CC1" w:rsidP="00223CC1">
      <w:pPr>
        <w:rPr>
          <w:rFonts w:ascii="Arial" w:eastAsia="Aptos" w:hAnsi="Arial" w:cs="Arial"/>
          <w:color w:val="000000" w:themeColor="text1"/>
        </w:rPr>
      </w:pPr>
      <w:r w:rsidRPr="00223CC1">
        <w:rPr>
          <w:rFonts w:ascii="Arial" w:eastAsia="Aptos" w:hAnsi="Arial" w:cs="Arial"/>
          <w:color w:val="000000" w:themeColor="text1"/>
        </w:rPr>
        <w:t xml:space="preserve">Valeria, A.M., Ricardo, E.J., Stephan, P. </w:t>
      </w:r>
      <w:r w:rsidRPr="00223CC1">
        <w:rPr>
          <w:rFonts w:ascii="Arial" w:eastAsia="Aptos" w:hAnsi="Arial" w:cs="Arial"/>
          <w:i/>
          <w:iCs/>
          <w:color w:val="000000" w:themeColor="text1"/>
        </w:rPr>
        <w:t>et al.</w:t>
      </w:r>
      <w:r w:rsidRPr="00223CC1">
        <w:rPr>
          <w:rFonts w:ascii="Arial" w:eastAsia="Aptos" w:hAnsi="Arial" w:cs="Arial"/>
          <w:color w:val="000000" w:themeColor="text1"/>
        </w:rPr>
        <w:t xml:space="preserve"> Degradation of Microcystin-RR by </w:t>
      </w:r>
      <w:r w:rsidRPr="00223CC1">
        <w:rPr>
          <w:rFonts w:ascii="Arial" w:eastAsia="Aptos" w:hAnsi="Arial" w:cs="Arial"/>
          <w:b/>
          <w:bCs/>
          <w:i/>
          <w:iCs/>
          <w:color w:val="000000" w:themeColor="text1"/>
        </w:rPr>
        <w:t>Sphingomonas</w:t>
      </w:r>
      <w:r w:rsidRPr="00223CC1">
        <w:rPr>
          <w:rFonts w:ascii="Arial" w:eastAsia="Aptos" w:hAnsi="Arial" w:cs="Arial"/>
          <w:color w:val="000000" w:themeColor="text1"/>
        </w:rPr>
        <w:t xml:space="preserve"> sp. CBA4 isolated from San Roque reservoir (Córdoba – Argentina). </w:t>
      </w:r>
      <w:r w:rsidRPr="00223CC1">
        <w:rPr>
          <w:rFonts w:ascii="Arial" w:eastAsia="Aptos" w:hAnsi="Arial" w:cs="Arial"/>
          <w:i/>
          <w:iCs/>
          <w:color w:val="000000" w:themeColor="text1"/>
        </w:rPr>
        <w:t>Biodegradation</w:t>
      </w:r>
      <w:r w:rsidRPr="00223CC1">
        <w:rPr>
          <w:rFonts w:ascii="Arial" w:eastAsia="Aptos" w:hAnsi="Arial" w:cs="Arial"/>
          <w:color w:val="000000" w:themeColor="text1"/>
        </w:rPr>
        <w:t xml:space="preserve"> </w:t>
      </w:r>
      <w:r w:rsidRPr="00223CC1">
        <w:rPr>
          <w:rFonts w:ascii="Arial" w:eastAsia="Aptos" w:hAnsi="Arial" w:cs="Arial"/>
          <w:b/>
          <w:bCs/>
          <w:color w:val="000000" w:themeColor="text1"/>
        </w:rPr>
        <w:t>17</w:t>
      </w:r>
      <w:r w:rsidRPr="00223CC1">
        <w:rPr>
          <w:rFonts w:ascii="Arial" w:eastAsia="Aptos" w:hAnsi="Arial" w:cs="Arial"/>
          <w:color w:val="000000" w:themeColor="text1"/>
        </w:rPr>
        <w:t xml:space="preserve">, 447–455 (2006). </w:t>
      </w:r>
      <w:hyperlink r:id="rId12" w:history="1">
        <w:r w:rsidRPr="00223CC1">
          <w:rPr>
            <w:rStyle w:val="Hyperlink"/>
            <w:rFonts w:ascii="Arial" w:eastAsia="Aptos" w:hAnsi="Arial" w:cs="Arial"/>
            <w:color w:val="000000" w:themeColor="text1"/>
          </w:rPr>
          <w:t>https://doi.org/10.1007/s10532-005-9015-9</w:t>
        </w:r>
      </w:hyperlink>
      <w:r w:rsidRPr="00223CC1">
        <w:rPr>
          <w:rFonts w:ascii="Arial" w:eastAsia="Aptos" w:hAnsi="Arial" w:cs="Arial"/>
          <w:color w:val="000000" w:themeColor="text1"/>
        </w:rPr>
        <w:t xml:space="preserve"> </w:t>
      </w:r>
    </w:p>
    <w:p w14:paraId="5D62A444" w14:textId="77777777" w:rsidR="00223CC1" w:rsidRPr="00223CC1" w:rsidRDefault="00223CC1" w:rsidP="00223CC1">
      <w:pPr>
        <w:rPr>
          <w:rFonts w:ascii="Arial" w:eastAsia="Aptos" w:hAnsi="Arial" w:cs="Arial"/>
          <w:color w:val="000000" w:themeColor="text1"/>
        </w:rPr>
      </w:pPr>
    </w:p>
    <w:p w14:paraId="2C449E8B" w14:textId="77777777" w:rsidR="00223CC1" w:rsidRPr="00223CC1" w:rsidRDefault="00223CC1" w:rsidP="00223CC1">
      <w:pPr>
        <w:rPr>
          <w:rFonts w:ascii="Arial" w:eastAsia="Aptos" w:hAnsi="Arial" w:cs="Arial"/>
          <w:color w:val="000000" w:themeColor="text1"/>
        </w:rPr>
      </w:pPr>
      <w:r w:rsidRPr="00223CC1">
        <w:rPr>
          <w:rFonts w:ascii="Arial" w:eastAsia="Aptos" w:hAnsi="Arial" w:cs="Arial"/>
          <w:color w:val="000000" w:themeColor="text1"/>
          <w:u w:val="single"/>
        </w:rPr>
        <w:t xml:space="preserve">Chen, X., X. Yang, L. Yang, B. Xiao, X. Wu, J. Wang, and H. Wan (2010), An effective pathway for the removal of microcystin LR via anoxic biodegradation in lake sediments, </w:t>
      </w:r>
      <w:r w:rsidRPr="00223CC1">
        <w:rPr>
          <w:rFonts w:ascii="Arial" w:eastAsia="Aptos" w:hAnsi="Arial" w:cs="Arial"/>
          <w:i/>
          <w:iCs/>
          <w:color w:val="000000" w:themeColor="text1"/>
          <w:u w:val="single"/>
        </w:rPr>
        <w:t>Water Research</w:t>
      </w:r>
      <w:r w:rsidRPr="00223CC1">
        <w:rPr>
          <w:rFonts w:ascii="Arial" w:eastAsia="Aptos" w:hAnsi="Arial" w:cs="Arial"/>
          <w:color w:val="000000" w:themeColor="text1"/>
          <w:u w:val="single"/>
        </w:rPr>
        <w:t xml:space="preserve">, </w:t>
      </w:r>
      <w:r w:rsidRPr="00223CC1">
        <w:rPr>
          <w:rFonts w:ascii="Arial" w:eastAsia="Aptos" w:hAnsi="Arial" w:cs="Arial"/>
          <w:i/>
          <w:iCs/>
          <w:color w:val="000000" w:themeColor="text1"/>
          <w:u w:val="single"/>
        </w:rPr>
        <w:t>44</w:t>
      </w:r>
      <w:r w:rsidRPr="00223CC1">
        <w:rPr>
          <w:rFonts w:ascii="Arial" w:eastAsia="Aptos" w:hAnsi="Arial" w:cs="Arial"/>
          <w:color w:val="000000" w:themeColor="text1"/>
          <w:u w:val="single"/>
        </w:rPr>
        <w:t>(6), 1884-1892, doi:</w:t>
      </w:r>
      <w:hyperlink r:id="rId13" w:history="1">
        <w:r w:rsidRPr="00223CC1">
          <w:rPr>
            <w:rStyle w:val="Hyperlink"/>
            <w:rFonts w:ascii="Arial" w:eastAsia="Aptos" w:hAnsi="Arial" w:cs="Arial"/>
            <w:color w:val="000000" w:themeColor="text1"/>
          </w:rPr>
          <w:t>https://doi.org/10.1016/j.watres.2009.11.025</w:t>
        </w:r>
      </w:hyperlink>
      <w:r w:rsidRPr="00223CC1">
        <w:rPr>
          <w:rFonts w:ascii="Arial" w:eastAsia="Aptos" w:hAnsi="Arial" w:cs="Arial"/>
          <w:color w:val="000000" w:themeColor="text1"/>
          <w:u w:val="single"/>
        </w:rPr>
        <w:t xml:space="preserve">. </w:t>
      </w:r>
    </w:p>
    <w:p w14:paraId="5F830C2B" w14:textId="77777777" w:rsidR="00223CC1" w:rsidRPr="00223CC1" w:rsidRDefault="00223CC1" w:rsidP="00223CC1">
      <w:pPr>
        <w:jc w:val="both"/>
        <w:rPr>
          <w:rFonts w:ascii="Arial" w:eastAsia="Aptos" w:hAnsi="Arial" w:cs="Arial"/>
          <w:color w:val="000000" w:themeColor="text1"/>
        </w:rPr>
      </w:pPr>
    </w:p>
    <w:p w14:paraId="4176A703" w14:textId="77777777" w:rsidR="00223CC1" w:rsidRPr="00223CC1" w:rsidRDefault="00223CC1" w:rsidP="00223CC1">
      <w:pPr>
        <w:rPr>
          <w:rFonts w:ascii="Arial" w:eastAsia="Aptos" w:hAnsi="Arial" w:cs="Arial"/>
          <w:color w:val="000000" w:themeColor="text1"/>
        </w:rPr>
      </w:pPr>
      <w:r w:rsidRPr="00223CC1">
        <w:rPr>
          <w:rFonts w:ascii="Arial" w:eastAsia="Aptos" w:hAnsi="Arial" w:cs="Arial"/>
          <w:color w:val="000000" w:themeColor="text1"/>
        </w:rPr>
        <w:t>Wu, X., C. Wang, C. Tian, B. Xiao, and L. Song (2015), Evaluation of the potential of anoxic biodegradation of intracellular and dissolved microcystins in lake sediments, Journal of Hazardous Materials, 286, 395-401, doi:https://doi.org/10.1016/j.jhazmat.2015.01.015.</w:t>
      </w:r>
    </w:p>
    <w:p w14:paraId="6AFDA9B2" w14:textId="77777777" w:rsidR="00223CC1" w:rsidRPr="00223CC1" w:rsidRDefault="00223CC1" w:rsidP="00034E5E">
      <w:pPr>
        <w:rPr>
          <w:rFonts w:ascii="Arial" w:hAnsi="Arial" w:cs="Arial"/>
        </w:rPr>
      </w:pPr>
    </w:p>
    <w:p w14:paraId="5734C78C" w14:textId="303A8293" w:rsidR="00975188" w:rsidRPr="00223CC1" w:rsidRDefault="00975188" w:rsidP="00034E5E">
      <w:pPr>
        <w:rPr>
          <w:rFonts w:ascii="Arial" w:hAnsi="Arial" w:cs="Arial"/>
          <w:b/>
          <w:bCs/>
          <w:sz w:val="28"/>
          <w:szCs w:val="28"/>
        </w:rPr>
      </w:pPr>
      <w:r w:rsidRPr="00223CC1">
        <w:rPr>
          <w:rFonts w:ascii="Arial" w:hAnsi="Arial" w:cs="Arial"/>
          <w:b/>
          <w:bCs/>
          <w:sz w:val="28"/>
          <w:szCs w:val="28"/>
        </w:rPr>
        <w:t>Supplementary Tables</w:t>
      </w:r>
      <w:r w:rsidR="001F6E2F">
        <w:rPr>
          <w:rFonts w:ascii="Arial" w:hAnsi="Arial" w:cs="Arial"/>
          <w:b/>
          <w:bCs/>
          <w:sz w:val="28"/>
          <w:szCs w:val="28"/>
        </w:rPr>
        <w:t xml:space="preserve"> (Attached as Excel Files)</w:t>
      </w:r>
    </w:p>
    <w:p w14:paraId="6AD611F2" w14:textId="77777777" w:rsidR="00975188" w:rsidRPr="00223CC1" w:rsidRDefault="00975188" w:rsidP="00034E5E">
      <w:pPr>
        <w:rPr>
          <w:rFonts w:ascii="Arial" w:hAnsi="Arial" w:cs="Arial"/>
        </w:rPr>
      </w:pPr>
    </w:p>
    <w:p w14:paraId="1CDED09C" w14:textId="094FFB54" w:rsidR="00074563" w:rsidRPr="00223CC1" w:rsidRDefault="00074563" w:rsidP="00034E5E">
      <w:pPr>
        <w:rPr>
          <w:rFonts w:ascii="Arial" w:hAnsi="Arial" w:cs="Arial"/>
        </w:rPr>
      </w:pPr>
      <w:r w:rsidRPr="00223CC1">
        <w:rPr>
          <w:rFonts w:ascii="Arial" w:hAnsi="Arial" w:cs="Arial"/>
        </w:rPr>
        <w:t xml:space="preserve">Table </w:t>
      </w:r>
      <w:r w:rsidR="00984CD5" w:rsidRPr="00223CC1">
        <w:rPr>
          <w:rFonts w:ascii="Arial" w:hAnsi="Arial" w:cs="Arial"/>
        </w:rPr>
        <w:t>S</w:t>
      </w:r>
      <w:r w:rsidRPr="00223CC1">
        <w:rPr>
          <w:rFonts w:ascii="Arial" w:hAnsi="Arial" w:cs="Arial"/>
        </w:rPr>
        <w:t xml:space="preserve">1. Taxonomic and </w:t>
      </w:r>
      <w:r w:rsidR="00D25BB6" w:rsidRPr="00223CC1">
        <w:rPr>
          <w:rFonts w:ascii="Arial" w:hAnsi="Arial" w:cs="Arial"/>
        </w:rPr>
        <w:t>s</w:t>
      </w:r>
      <w:r w:rsidRPr="00223CC1">
        <w:rPr>
          <w:rFonts w:ascii="Arial" w:hAnsi="Arial" w:cs="Arial"/>
        </w:rPr>
        <w:t xml:space="preserve">tatistical </w:t>
      </w:r>
      <w:r w:rsidR="00D25BB6" w:rsidRPr="00223CC1">
        <w:rPr>
          <w:rFonts w:ascii="Arial" w:hAnsi="Arial" w:cs="Arial"/>
        </w:rPr>
        <w:t>s</w:t>
      </w:r>
      <w:r w:rsidRPr="00223CC1">
        <w:rPr>
          <w:rFonts w:ascii="Arial" w:hAnsi="Arial" w:cs="Arial"/>
        </w:rPr>
        <w:t>ummary of</w:t>
      </w:r>
      <w:r w:rsidR="00D25BB6" w:rsidRPr="00223CC1">
        <w:rPr>
          <w:rFonts w:ascii="Arial" w:hAnsi="Arial" w:cs="Arial"/>
        </w:rPr>
        <w:t xml:space="preserve"> s</w:t>
      </w:r>
      <w:r w:rsidRPr="00223CC1">
        <w:rPr>
          <w:rFonts w:ascii="Arial" w:hAnsi="Arial" w:cs="Arial"/>
        </w:rPr>
        <w:t xml:space="preserve">oil </w:t>
      </w:r>
      <w:r w:rsidR="00D25BB6" w:rsidRPr="00223CC1">
        <w:rPr>
          <w:rFonts w:ascii="Arial" w:hAnsi="Arial" w:cs="Arial"/>
        </w:rPr>
        <w:t>m</w:t>
      </w:r>
      <w:r w:rsidRPr="00223CC1">
        <w:rPr>
          <w:rFonts w:ascii="Arial" w:hAnsi="Arial" w:cs="Arial"/>
        </w:rPr>
        <w:t xml:space="preserve">icrobial </w:t>
      </w:r>
      <w:r w:rsidR="00D25BB6" w:rsidRPr="00223CC1">
        <w:rPr>
          <w:rFonts w:ascii="Arial" w:hAnsi="Arial" w:cs="Arial"/>
        </w:rPr>
        <w:t>c</w:t>
      </w:r>
      <w:r w:rsidRPr="00223CC1">
        <w:rPr>
          <w:rFonts w:ascii="Arial" w:hAnsi="Arial" w:cs="Arial"/>
        </w:rPr>
        <w:t>ommunities.</w:t>
      </w:r>
      <w:r w:rsidR="002C3B28" w:rsidRPr="00223CC1">
        <w:rPr>
          <w:rFonts w:ascii="Arial" w:hAnsi="Arial" w:cs="Arial"/>
        </w:rPr>
        <w:t xml:space="preserve"> </w:t>
      </w:r>
      <w:r w:rsidR="00F51B7F" w:rsidRPr="00223CC1">
        <w:rPr>
          <w:rFonts w:ascii="Arial" w:hAnsi="Arial" w:cs="Arial"/>
        </w:rPr>
        <w:t xml:space="preserve">This table includes ASV counts, </w:t>
      </w:r>
      <w:r w:rsidR="007E5DFC" w:rsidRPr="00223CC1">
        <w:rPr>
          <w:rFonts w:ascii="Arial" w:hAnsi="Arial" w:cs="Arial"/>
        </w:rPr>
        <w:t xml:space="preserve">top 12 </w:t>
      </w:r>
      <w:r w:rsidR="001C0690" w:rsidRPr="00223CC1">
        <w:rPr>
          <w:rFonts w:ascii="Arial" w:hAnsi="Arial" w:cs="Arial"/>
        </w:rPr>
        <w:t xml:space="preserve">phylum-level relative abundance, </w:t>
      </w:r>
      <w:r w:rsidR="00F51B7F" w:rsidRPr="00223CC1">
        <w:rPr>
          <w:rFonts w:ascii="Arial" w:hAnsi="Arial" w:cs="Arial"/>
        </w:rPr>
        <w:t>genus-level relative abundance, MC-degrading genera, and ANOVA results.</w:t>
      </w:r>
    </w:p>
    <w:p w14:paraId="162BF245" w14:textId="77777777" w:rsidR="009C340B" w:rsidRPr="00223CC1" w:rsidRDefault="009C340B" w:rsidP="00034E5E">
      <w:pPr>
        <w:rPr>
          <w:rFonts w:ascii="Arial" w:hAnsi="Arial" w:cs="Arial"/>
        </w:rPr>
      </w:pPr>
    </w:p>
    <w:p w14:paraId="4929CB73" w14:textId="440DF15B" w:rsidR="00BB75CA" w:rsidRPr="00223CC1" w:rsidRDefault="00BB75CA" w:rsidP="00BB75CA">
      <w:pPr>
        <w:rPr>
          <w:rFonts w:ascii="Arial" w:hAnsi="Arial" w:cs="Arial"/>
        </w:rPr>
      </w:pPr>
      <w:r w:rsidRPr="00223CC1">
        <w:rPr>
          <w:rFonts w:ascii="Arial" w:hAnsi="Arial" w:cs="Arial"/>
        </w:rPr>
        <w:t xml:space="preserve">Table </w:t>
      </w:r>
      <w:r w:rsidR="00984CD5" w:rsidRPr="00223CC1">
        <w:rPr>
          <w:rFonts w:ascii="Arial" w:hAnsi="Arial" w:cs="Arial"/>
        </w:rPr>
        <w:t>S</w:t>
      </w:r>
      <w:r w:rsidRPr="00223CC1">
        <w:rPr>
          <w:rFonts w:ascii="Arial" w:hAnsi="Arial" w:cs="Arial"/>
        </w:rPr>
        <w:t>2. Alpha diversity metrics and statistical analysis</w:t>
      </w:r>
      <w:r w:rsidR="00DD4BC0" w:rsidRPr="00223CC1">
        <w:rPr>
          <w:rFonts w:ascii="Arial" w:hAnsi="Arial" w:cs="Arial"/>
        </w:rPr>
        <w:t xml:space="preserve">. </w:t>
      </w:r>
      <w:r w:rsidRPr="00223CC1">
        <w:rPr>
          <w:rFonts w:ascii="Arial" w:hAnsi="Arial" w:cs="Arial"/>
        </w:rPr>
        <w:t xml:space="preserve">This table presents observed richness and Shannon index values across samples, </w:t>
      </w:r>
      <w:r w:rsidR="00354F7D" w:rsidRPr="00223CC1">
        <w:rPr>
          <w:rFonts w:ascii="Arial" w:hAnsi="Arial" w:cs="Arial"/>
        </w:rPr>
        <w:t>along with the results of ANOVA</w:t>
      </w:r>
      <w:r w:rsidRPr="00223CC1">
        <w:rPr>
          <w:rFonts w:ascii="Arial" w:hAnsi="Arial" w:cs="Arial"/>
        </w:rPr>
        <w:t>.</w:t>
      </w:r>
    </w:p>
    <w:sectPr w:rsidR="00BB75CA" w:rsidRPr="00223C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44"/>
    <w:rsid w:val="00034E5E"/>
    <w:rsid w:val="00052204"/>
    <w:rsid w:val="00074563"/>
    <w:rsid w:val="00105FDB"/>
    <w:rsid w:val="00183DEE"/>
    <w:rsid w:val="001C0690"/>
    <w:rsid w:val="001E6664"/>
    <w:rsid w:val="001F6E2F"/>
    <w:rsid w:val="00211EA3"/>
    <w:rsid w:val="00214781"/>
    <w:rsid w:val="00223CC1"/>
    <w:rsid w:val="002B230E"/>
    <w:rsid w:val="002C1D19"/>
    <w:rsid w:val="002C3B28"/>
    <w:rsid w:val="002E22A7"/>
    <w:rsid w:val="003539EB"/>
    <w:rsid w:val="00354F7D"/>
    <w:rsid w:val="00371396"/>
    <w:rsid w:val="003A0BAA"/>
    <w:rsid w:val="003A5220"/>
    <w:rsid w:val="003B7579"/>
    <w:rsid w:val="0048331C"/>
    <w:rsid w:val="00540D79"/>
    <w:rsid w:val="00542EA4"/>
    <w:rsid w:val="00567C1B"/>
    <w:rsid w:val="00586534"/>
    <w:rsid w:val="005B375B"/>
    <w:rsid w:val="005D0AD5"/>
    <w:rsid w:val="00686469"/>
    <w:rsid w:val="006E1272"/>
    <w:rsid w:val="006E4CA7"/>
    <w:rsid w:val="007009C6"/>
    <w:rsid w:val="007330CF"/>
    <w:rsid w:val="00762946"/>
    <w:rsid w:val="00777383"/>
    <w:rsid w:val="00782B6C"/>
    <w:rsid w:val="007E5DFC"/>
    <w:rsid w:val="008E28C7"/>
    <w:rsid w:val="008F49DA"/>
    <w:rsid w:val="00975188"/>
    <w:rsid w:val="00984CD5"/>
    <w:rsid w:val="009C340B"/>
    <w:rsid w:val="009C58E6"/>
    <w:rsid w:val="009D3179"/>
    <w:rsid w:val="009F4750"/>
    <w:rsid w:val="00A32270"/>
    <w:rsid w:val="00A87A13"/>
    <w:rsid w:val="00A94304"/>
    <w:rsid w:val="00B00ED2"/>
    <w:rsid w:val="00B36B73"/>
    <w:rsid w:val="00B54C96"/>
    <w:rsid w:val="00BA7852"/>
    <w:rsid w:val="00BB75CA"/>
    <w:rsid w:val="00C64757"/>
    <w:rsid w:val="00D23CFF"/>
    <w:rsid w:val="00D25BB6"/>
    <w:rsid w:val="00DD4BC0"/>
    <w:rsid w:val="00DE20D8"/>
    <w:rsid w:val="00E167C7"/>
    <w:rsid w:val="00E412B9"/>
    <w:rsid w:val="00E63944"/>
    <w:rsid w:val="00E7242E"/>
    <w:rsid w:val="00E76873"/>
    <w:rsid w:val="00ED4E61"/>
    <w:rsid w:val="00F51B7F"/>
    <w:rsid w:val="00F65DD9"/>
    <w:rsid w:val="00F72547"/>
    <w:rsid w:val="00F90700"/>
    <w:rsid w:val="00FB641D"/>
    <w:rsid w:val="00FD3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7AE37"/>
  <w15:chartTrackingRefBased/>
  <w15:docId w15:val="{DCFE1FCD-9B36-F842-A191-B3E7B25D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3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3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3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3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3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39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39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39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39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3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3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3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3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3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3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3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3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3944"/>
    <w:rPr>
      <w:rFonts w:eastAsiaTheme="majorEastAsia" w:cstheme="majorBidi"/>
      <w:color w:val="272727" w:themeColor="text1" w:themeTint="D8"/>
    </w:rPr>
  </w:style>
  <w:style w:type="paragraph" w:styleId="Title">
    <w:name w:val="Title"/>
    <w:basedOn w:val="Normal"/>
    <w:next w:val="Normal"/>
    <w:link w:val="TitleChar"/>
    <w:uiPriority w:val="10"/>
    <w:qFormat/>
    <w:rsid w:val="00E639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3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394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3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39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63944"/>
    <w:rPr>
      <w:i/>
      <w:iCs/>
      <w:color w:val="404040" w:themeColor="text1" w:themeTint="BF"/>
    </w:rPr>
  </w:style>
  <w:style w:type="paragraph" w:styleId="ListParagraph">
    <w:name w:val="List Paragraph"/>
    <w:basedOn w:val="Normal"/>
    <w:uiPriority w:val="34"/>
    <w:qFormat/>
    <w:rsid w:val="00E63944"/>
    <w:pPr>
      <w:ind w:left="720"/>
      <w:contextualSpacing/>
    </w:pPr>
  </w:style>
  <w:style w:type="character" w:styleId="IntenseEmphasis">
    <w:name w:val="Intense Emphasis"/>
    <w:basedOn w:val="DefaultParagraphFont"/>
    <w:uiPriority w:val="21"/>
    <w:qFormat/>
    <w:rsid w:val="00E63944"/>
    <w:rPr>
      <w:i/>
      <w:iCs/>
      <w:color w:val="0F4761" w:themeColor="accent1" w:themeShade="BF"/>
    </w:rPr>
  </w:style>
  <w:style w:type="paragraph" w:styleId="IntenseQuote">
    <w:name w:val="Intense Quote"/>
    <w:basedOn w:val="Normal"/>
    <w:next w:val="Normal"/>
    <w:link w:val="IntenseQuoteChar"/>
    <w:uiPriority w:val="30"/>
    <w:qFormat/>
    <w:rsid w:val="00E63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3944"/>
    <w:rPr>
      <w:i/>
      <w:iCs/>
      <w:color w:val="0F4761" w:themeColor="accent1" w:themeShade="BF"/>
    </w:rPr>
  </w:style>
  <w:style w:type="character" w:styleId="IntenseReference">
    <w:name w:val="Intense Reference"/>
    <w:basedOn w:val="DefaultParagraphFont"/>
    <w:uiPriority w:val="32"/>
    <w:qFormat/>
    <w:rsid w:val="00E63944"/>
    <w:rPr>
      <w:b/>
      <w:bCs/>
      <w:smallCaps/>
      <w:color w:val="0F4761" w:themeColor="accent1" w:themeShade="BF"/>
      <w:spacing w:val="5"/>
    </w:rPr>
  </w:style>
  <w:style w:type="paragraph" w:styleId="Bibliography">
    <w:name w:val="Bibliography"/>
    <w:basedOn w:val="Normal"/>
    <w:next w:val="Normal"/>
    <w:uiPriority w:val="37"/>
    <w:semiHidden/>
    <w:unhideWhenUsed/>
    <w:rsid w:val="00223CC1"/>
  </w:style>
  <w:style w:type="character" w:styleId="Hyperlink">
    <w:name w:val="Hyperlink"/>
    <w:basedOn w:val="DefaultParagraphFont"/>
    <w:uiPriority w:val="99"/>
    <w:unhideWhenUsed/>
    <w:rsid w:val="00223CC1"/>
    <w:rPr>
      <w:color w:val="0563C1"/>
      <w:u w:val="single"/>
    </w:rPr>
  </w:style>
  <w:style w:type="paragraph" w:styleId="NoSpacing">
    <w:name w:val="No Spacing"/>
    <w:uiPriority w:val="1"/>
    <w:qFormat/>
    <w:rsid w:val="00223CC1"/>
    <w:pPr>
      <w:widowControl w:val="0"/>
      <w:jc w:val="both"/>
    </w:pPr>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527536">
      <w:bodyDiv w:val="1"/>
      <w:marLeft w:val="0"/>
      <w:marRight w:val="0"/>
      <w:marTop w:val="0"/>
      <w:marBottom w:val="0"/>
      <w:divBdr>
        <w:top w:val="none" w:sz="0" w:space="0" w:color="auto"/>
        <w:left w:val="none" w:sz="0" w:space="0" w:color="auto"/>
        <w:bottom w:val="none" w:sz="0" w:space="0" w:color="auto"/>
        <w:right w:val="none" w:sz="0" w:space="0" w:color="auto"/>
      </w:divBdr>
    </w:div>
    <w:div w:id="1220557208">
      <w:bodyDiv w:val="1"/>
      <w:marLeft w:val="0"/>
      <w:marRight w:val="0"/>
      <w:marTop w:val="0"/>
      <w:marBottom w:val="0"/>
      <w:divBdr>
        <w:top w:val="none" w:sz="0" w:space="0" w:color="auto"/>
        <w:left w:val="none" w:sz="0" w:space="0" w:color="auto"/>
        <w:bottom w:val="none" w:sz="0" w:space="0" w:color="auto"/>
        <w:right w:val="none" w:sz="0" w:space="0" w:color="auto"/>
      </w:divBdr>
    </w:div>
    <w:div w:id="157551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doi.org/10.1016/j.watres.2009.11.025" TargetMode="External"/><Relationship Id="rId3" Type="http://schemas.openxmlformats.org/officeDocument/2006/relationships/webSettings" Target="webSettings.xml"/><Relationship Id="rId7" Type="http://schemas.openxmlformats.org/officeDocument/2006/relationships/image" Target="media/image3.emf"/><Relationship Id="rId12" Type="http://schemas.openxmlformats.org/officeDocument/2006/relationships/hyperlink" Target="https://doi.org/10.1007/s10532-005-9015-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hyperlink" Target="https://doi.org/10.1016/j.biortech.2011.07.112" TargetMode="External"/><Relationship Id="rId5" Type="http://schemas.openxmlformats.org/officeDocument/2006/relationships/image" Target="media/image2.emf"/><Relationship Id="rId15" Type="http://schemas.openxmlformats.org/officeDocument/2006/relationships/theme" Target="theme/theme1.xml"/><Relationship Id="rId10" Type="http://schemas.openxmlformats.org/officeDocument/2006/relationships/hyperlink" Target="https://doi.org/10.1016/j.scitotenv.2022.157993" TargetMode="External"/><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696</Words>
  <Characters>3972</Characters>
  <Application>Microsoft Office Word</Application>
  <DocSecurity>0</DocSecurity>
  <Lines>33</Lines>
  <Paragraphs>9</Paragraphs>
  <ScaleCrop>false</ScaleCrop>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Ya-jou Chen, Ph.D.</dc:creator>
  <cp:keywords/>
  <dc:description/>
  <cp:lastModifiedBy>Yitong Eric Su</cp:lastModifiedBy>
  <cp:revision>3</cp:revision>
  <dcterms:created xsi:type="dcterms:W3CDTF">2025-06-27T10:34:00Z</dcterms:created>
  <dcterms:modified xsi:type="dcterms:W3CDTF">2025-06-27T10:35:00Z</dcterms:modified>
</cp:coreProperties>
</file>